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e9704b8b7f6437b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10" w:rsidRDefault="00662310">
      <w:pPr>
        <w:pStyle w:val="Cabealho"/>
        <w:tabs>
          <w:tab w:val="clear" w:pos="4252"/>
          <w:tab w:val="clear" w:pos="8504"/>
        </w:tabs>
      </w:pPr>
    </w:p>
    <w:p w:rsidR="00662310" w:rsidRDefault="00662310">
      <w:pPr>
        <w:pStyle w:val="Cabealho"/>
        <w:tabs>
          <w:tab w:val="clear" w:pos="4252"/>
          <w:tab w:val="clear" w:pos="8504"/>
        </w:tabs>
      </w:pPr>
    </w:p>
    <w:p w:rsidR="001C3A77" w:rsidRPr="00662310" w:rsidRDefault="001622B1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Compromissos Plurianuais existentes a 31/12/2018</w:t>
      </w:r>
    </w:p>
    <w:p w:rsidR="001C3A77" w:rsidRPr="00662310" w:rsidRDefault="001C3A77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sz w:val="20"/>
        </w:rPr>
      </w:pPr>
    </w:p>
    <w:p w:rsidR="001C3A77" w:rsidRDefault="001622B1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Nos termos d</w:t>
      </w:r>
      <w:r w:rsidR="001C3A77" w:rsidRPr="00662310">
        <w:rPr>
          <w:rFonts w:ascii="Arial" w:hAnsi="Arial" w:cs="Arial"/>
          <w:sz w:val="20"/>
        </w:rPr>
        <w:t xml:space="preserve">a alínea </w:t>
      </w:r>
      <w:r w:rsidR="001C3A77">
        <w:rPr>
          <w:rFonts w:ascii="Arial" w:hAnsi="Arial" w:cs="Arial"/>
          <w:sz w:val="20"/>
        </w:rPr>
        <w:t>a</w:t>
      </w:r>
      <w:r w:rsidR="001C3A77" w:rsidRPr="00662310">
        <w:rPr>
          <w:rFonts w:ascii="Arial" w:hAnsi="Arial" w:cs="Arial"/>
          <w:sz w:val="20"/>
        </w:rPr>
        <w:t xml:space="preserve">) do n.º 1 do art.º 15º da Lei n.º 8/2012, de 21 de Fevereiro, </w:t>
      </w:r>
      <w:r w:rsidR="001C3A77">
        <w:rPr>
          <w:rFonts w:ascii="Arial" w:hAnsi="Arial" w:cs="Arial"/>
          <w:sz w:val="20"/>
        </w:rPr>
        <w:t>declara</w:t>
      </w:r>
      <w:r>
        <w:rPr>
          <w:rFonts w:ascii="Arial" w:hAnsi="Arial" w:cs="Arial"/>
          <w:sz w:val="20"/>
        </w:rPr>
        <w:t>-se</w:t>
      </w:r>
      <w:r w:rsidR="001C3A77">
        <w:rPr>
          <w:rFonts w:ascii="Arial" w:hAnsi="Arial" w:cs="Arial"/>
          <w:sz w:val="20"/>
        </w:rPr>
        <w:t xml:space="preserve"> que todos os compromissos plurianuais existentes em 31 de </w:t>
      </w:r>
      <w:r w:rsidR="001C3A77" w:rsidRPr="00662310">
        <w:rPr>
          <w:rFonts w:ascii="Arial" w:hAnsi="Arial" w:cs="Arial"/>
          <w:sz w:val="20"/>
        </w:rPr>
        <w:t>Dezembro de 201</w:t>
      </w:r>
      <w:r>
        <w:rPr>
          <w:rFonts w:ascii="Arial" w:hAnsi="Arial" w:cs="Arial"/>
          <w:sz w:val="20"/>
        </w:rPr>
        <w:t>8</w:t>
      </w:r>
      <w:r w:rsidR="001C3A77">
        <w:rPr>
          <w:rFonts w:ascii="Arial" w:hAnsi="Arial" w:cs="Arial"/>
          <w:sz w:val="20"/>
        </w:rPr>
        <w:t>, se encontram devidamente registados no sistema informático da autarquia, não estando, por não ter sido oportunamente disponibilizada pela DG</w:t>
      </w:r>
      <w:r w:rsidR="005B3F15">
        <w:rPr>
          <w:rFonts w:ascii="Arial" w:hAnsi="Arial" w:cs="Arial"/>
          <w:sz w:val="20"/>
        </w:rPr>
        <w:t xml:space="preserve">AL, registados na base de </w:t>
      </w:r>
      <w:proofErr w:type="gramStart"/>
      <w:r w:rsidR="005B3F15">
        <w:rPr>
          <w:rFonts w:ascii="Arial" w:hAnsi="Arial" w:cs="Arial"/>
          <w:sz w:val="20"/>
        </w:rPr>
        <w:t xml:space="preserve">dados </w:t>
      </w:r>
      <w:r w:rsidR="001C3A77">
        <w:rPr>
          <w:rFonts w:ascii="Arial" w:hAnsi="Arial" w:cs="Arial"/>
          <w:sz w:val="20"/>
        </w:rPr>
        <w:t>central</w:t>
      </w:r>
      <w:proofErr w:type="gramEnd"/>
      <w:r w:rsidR="001C3A77">
        <w:rPr>
          <w:rFonts w:ascii="Arial" w:hAnsi="Arial" w:cs="Arial"/>
          <w:sz w:val="20"/>
        </w:rPr>
        <w:t xml:space="preserve"> de encargos </w:t>
      </w:r>
      <w:proofErr w:type="gramStart"/>
      <w:r w:rsidR="001C3A77">
        <w:rPr>
          <w:rFonts w:ascii="Arial" w:hAnsi="Arial" w:cs="Arial"/>
          <w:sz w:val="20"/>
        </w:rPr>
        <w:t>plurianuais</w:t>
      </w:r>
      <w:proofErr w:type="gramEnd"/>
      <w:r w:rsidR="001C3A77">
        <w:rPr>
          <w:rFonts w:ascii="Arial" w:hAnsi="Arial" w:cs="Arial"/>
          <w:sz w:val="20"/>
        </w:rPr>
        <w:t>.</w:t>
      </w:r>
    </w:p>
    <w:p w:rsidR="001C3A77" w:rsidRDefault="001C3A77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1C3A77" w:rsidRDefault="001C3A77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Mais declara que os montantes globais do encargo plurianuais são os que constam do quadro infra.</w:t>
      </w:r>
    </w:p>
    <w:p w:rsidR="005B3F15" w:rsidRDefault="005B3F15" w:rsidP="005B3F15"/>
    <w:tbl>
      <w:tblPr>
        <w:tblW w:w="5660" w:type="dxa"/>
        <w:tblInd w:w="2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540"/>
      </w:tblGrid>
      <w:tr w:rsidR="00F801FE" w:rsidTr="00F801FE">
        <w:trPr>
          <w:trHeight w:val="522"/>
        </w:trPr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F801FE" w:rsidRDefault="00F801FE" w:rsidP="00162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Compromissos Plur</w:t>
            </w:r>
            <w:r w:rsidR="00466BE4">
              <w:rPr>
                <w:rFonts w:ascii="Calibri" w:hAnsi="Calibri"/>
                <w:color w:val="000000"/>
                <w:sz w:val="22"/>
                <w:szCs w:val="22"/>
              </w:rPr>
              <w:t>ianuais Existentes em 31/12/201</w:t>
            </w:r>
            <w:r w:rsidR="001622B1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F801FE" w:rsidTr="00F801FE">
        <w:trPr>
          <w:trHeight w:val="52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1FE" w:rsidRDefault="00F801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1FE" w:rsidRDefault="00F801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Montante</w:t>
            </w:r>
          </w:p>
        </w:tc>
      </w:tr>
      <w:tr w:rsidR="00466BE4" w:rsidRPr="00466BE4" w:rsidTr="00B175BD">
        <w:trPr>
          <w:trHeight w:val="52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466BE4" w:rsidP="001622B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66BE4">
              <w:rPr>
                <w:rFonts w:asciiTheme="minorHAnsi" w:hAnsiTheme="minorHAnsi" w:cstheme="minorHAnsi"/>
                <w:b/>
                <w:sz w:val="22"/>
              </w:rPr>
              <w:t>201</w:t>
            </w:r>
            <w:r w:rsidR="001622B1">
              <w:rPr>
                <w:rFonts w:asciiTheme="minorHAnsi" w:hAnsiTheme="minorHAnsi" w:cstheme="minorHAnsi"/>
                <w:b/>
                <w:sz w:val="22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0A7CB2" w:rsidP="000A7CB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13.830.379,20 €</w:t>
            </w:r>
          </w:p>
        </w:tc>
      </w:tr>
      <w:tr w:rsidR="00466BE4" w:rsidRPr="00466BE4" w:rsidTr="00B175BD">
        <w:trPr>
          <w:trHeight w:val="52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1622B1" w:rsidP="00466BE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466BE4" w:rsidP="000A7CB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66BE4">
              <w:rPr>
                <w:rFonts w:asciiTheme="minorHAnsi" w:hAnsiTheme="minorHAnsi" w:cstheme="minorHAnsi"/>
                <w:b/>
                <w:sz w:val="22"/>
              </w:rPr>
              <w:t xml:space="preserve">10 </w:t>
            </w:r>
            <w:r w:rsidR="000A7CB2">
              <w:rPr>
                <w:rFonts w:asciiTheme="minorHAnsi" w:hAnsiTheme="minorHAnsi" w:cstheme="minorHAnsi"/>
                <w:b/>
                <w:sz w:val="22"/>
              </w:rPr>
              <w:t>775.808,81</w:t>
            </w:r>
            <w:r w:rsidRPr="00466BE4">
              <w:rPr>
                <w:rFonts w:asciiTheme="minorHAnsi" w:hAnsiTheme="minorHAnsi" w:cstheme="minorHAnsi"/>
                <w:b/>
                <w:sz w:val="22"/>
              </w:rPr>
              <w:t xml:space="preserve"> €</w:t>
            </w:r>
          </w:p>
        </w:tc>
      </w:tr>
      <w:tr w:rsidR="00466BE4" w:rsidRPr="00466BE4" w:rsidTr="00B175BD">
        <w:trPr>
          <w:trHeight w:val="52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1622B1" w:rsidP="00466BE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0A7CB2" w:rsidP="000A7CB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5.196.646,17</w:t>
            </w:r>
            <w:r w:rsidR="00466BE4" w:rsidRPr="00466BE4">
              <w:rPr>
                <w:rFonts w:asciiTheme="minorHAnsi" w:hAnsiTheme="minorHAnsi" w:cstheme="minorHAnsi"/>
                <w:b/>
                <w:sz w:val="22"/>
              </w:rPr>
              <w:t xml:space="preserve"> €</w:t>
            </w:r>
          </w:p>
        </w:tc>
      </w:tr>
      <w:tr w:rsidR="00466BE4" w:rsidRPr="00466BE4" w:rsidTr="00B175BD">
        <w:trPr>
          <w:trHeight w:val="52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1622B1" w:rsidP="00466BE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0A7CB2" w:rsidP="000A7CB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1.761.078,33</w:t>
            </w:r>
            <w:r w:rsidR="00466BE4" w:rsidRPr="00466BE4">
              <w:rPr>
                <w:rFonts w:asciiTheme="minorHAnsi" w:hAnsiTheme="minorHAnsi" w:cstheme="minorHAnsi"/>
                <w:b/>
                <w:sz w:val="22"/>
              </w:rPr>
              <w:t xml:space="preserve"> €</w:t>
            </w:r>
          </w:p>
        </w:tc>
      </w:tr>
      <w:tr w:rsidR="00466BE4" w:rsidRPr="00466BE4" w:rsidTr="00B175BD">
        <w:trPr>
          <w:trHeight w:val="52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466BE4" w:rsidP="00466BE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66BE4">
              <w:rPr>
                <w:rFonts w:asciiTheme="minorHAnsi" w:hAnsiTheme="minorHAnsi" w:cstheme="minorHAnsi"/>
                <w:b/>
                <w:sz w:val="22"/>
              </w:rPr>
              <w:t>Seguintes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BE4" w:rsidRPr="00466BE4" w:rsidRDefault="000A7CB2" w:rsidP="000A7CB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26.467.973,29</w:t>
            </w:r>
            <w:bookmarkStart w:id="0" w:name="_GoBack"/>
            <w:bookmarkEnd w:id="0"/>
            <w:r w:rsidR="00466BE4" w:rsidRPr="00466BE4">
              <w:rPr>
                <w:rFonts w:asciiTheme="minorHAnsi" w:hAnsiTheme="minorHAnsi" w:cstheme="minorHAnsi"/>
                <w:b/>
                <w:sz w:val="22"/>
              </w:rPr>
              <w:t xml:space="preserve"> €</w:t>
            </w:r>
          </w:p>
        </w:tc>
      </w:tr>
    </w:tbl>
    <w:p w:rsidR="001C3A77" w:rsidRPr="005B3F15" w:rsidRDefault="001C3A77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16"/>
        </w:rPr>
      </w:pPr>
    </w:p>
    <w:p w:rsidR="005B3F15" w:rsidRDefault="001C3A77" w:rsidP="00D96BED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Odivelas, </w:t>
      </w:r>
      <w:r w:rsidR="00466BE4">
        <w:rPr>
          <w:rFonts w:ascii="Arial" w:hAnsi="Arial" w:cs="Arial"/>
          <w:sz w:val="20"/>
        </w:rPr>
        <w:t>0</w:t>
      </w:r>
      <w:r w:rsidR="00D96BED">
        <w:rPr>
          <w:rFonts w:ascii="Arial" w:hAnsi="Arial" w:cs="Arial"/>
          <w:sz w:val="20"/>
        </w:rPr>
        <w:t>5</w:t>
      </w:r>
      <w:r w:rsidR="00D15D1B">
        <w:rPr>
          <w:rFonts w:ascii="Arial" w:hAnsi="Arial" w:cs="Arial"/>
          <w:sz w:val="20"/>
        </w:rPr>
        <w:t xml:space="preserve"> de </w:t>
      </w:r>
      <w:r w:rsidR="001622B1">
        <w:rPr>
          <w:rFonts w:ascii="Arial" w:hAnsi="Arial" w:cs="Arial"/>
          <w:sz w:val="20"/>
        </w:rPr>
        <w:t>fevereiro</w:t>
      </w:r>
      <w:r w:rsidR="00D15D1B">
        <w:rPr>
          <w:rFonts w:ascii="Arial" w:hAnsi="Arial" w:cs="Arial"/>
          <w:sz w:val="20"/>
        </w:rPr>
        <w:t xml:space="preserve"> de 201</w:t>
      </w:r>
      <w:r w:rsidR="00750950">
        <w:rPr>
          <w:rFonts w:ascii="Arial" w:hAnsi="Arial" w:cs="Arial"/>
          <w:sz w:val="20"/>
        </w:rPr>
        <w:t>9</w:t>
      </w:r>
    </w:p>
    <w:p w:rsidR="00F801FE" w:rsidRDefault="00F801FE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C238B9" w:rsidRPr="006F5543" w:rsidRDefault="00C238B9" w:rsidP="00C238B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Por subdelegação de competência do Diretor Municipal</w:t>
      </w:r>
      <w:r>
        <w:rPr>
          <w:rFonts w:ascii="Arial" w:eastAsia="Calibri" w:hAnsi="Arial" w:cs="Arial"/>
          <w:sz w:val="20"/>
          <w:szCs w:val="20"/>
        </w:rPr>
        <w:t xml:space="preserve"> de Gestão e Administração Geral</w:t>
      </w:r>
    </w:p>
    <w:p w:rsidR="00C238B9" w:rsidRDefault="00C238B9" w:rsidP="00C238B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18"/>
          <w:szCs w:val="20"/>
        </w:rPr>
      </w:pPr>
      <w:r w:rsidRPr="006F5543">
        <w:rPr>
          <w:rFonts w:ascii="Arial" w:eastAsia="Calibri" w:hAnsi="Arial" w:cs="Arial"/>
          <w:sz w:val="18"/>
          <w:szCs w:val="20"/>
        </w:rPr>
        <w:t>Despacho n.º 1/DM</w:t>
      </w:r>
      <w:r>
        <w:rPr>
          <w:rFonts w:ascii="Arial" w:eastAsia="Calibri" w:hAnsi="Arial" w:cs="Arial"/>
          <w:sz w:val="18"/>
          <w:szCs w:val="20"/>
        </w:rPr>
        <w:t>GAG</w:t>
      </w:r>
      <w:r w:rsidRPr="006F5543">
        <w:rPr>
          <w:rFonts w:ascii="Arial" w:eastAsia="Calibri" w:hAnsi="Arial" w:cs="Arial"/>
          <w:sz w:val="18"/>
          <w:szCs w:val="20"/>
        </w:rPr>
        <w:t>/2018 de 02/10/2018</w:t>
      </w:r>
    </w:p>
    <w:p w:rsidR="00C238B9" w:rsidRPr="006F5543" w:rsidRDefault="00C238B9" w:rsidP="00C238B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18"/>
          <w:szCs w:val="20"/>
        </w:rPr>
      </w:pPr>
    </w:p>
    <w:p w:rsidR="00C238B9" w:rsidRDefault="00C238B9" w:rsidP="00C238B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A Chefe da Divisão Financeira e de Aprovisionamento</w:t>
      </w:r>
    </w:p>
    <w:p w:rsidR="00C238B9" w:rsidRPr="006F5543" w:rsidRDefault="00C238B9" w:rsidP="00C238B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C238B9" w:rsidRPr="006F5543" w:rsidRDefault="00C238B9" w:rsidP="00C238B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C238B9" w:rsidRPr="006F5543" w:rsidRDefault="00C238B9" w:rsidP="00C238B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C238B9" w:rsidRPr="006F5543" w:rsidRDefault="00C238B9" w:rsidP="00C238B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(Susana Teixeira, Dra.)</w:t>
      </w:r>
    </w:p>
    <w:p w:rsidR="005B3F15" w:rsidRDefault="005B3F15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1C3A77" w:rsidRDefault="001C3A77" w:rsidP="00800AC2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sz w:val="20"/>
        </w:rPr>
      </w:pPr>
    </w:p>
    <w:p w:rsidR="00D55015" w:rsidRDefault="00D55015" w:rsidP="00CC2AA3">
      <w:pPr>
        <w:autoSpaceDE w:val="0"/>
        <w:autoSpaceDN w:val="0"/>
        <w:adjustRightInd w:val="0"/>
        <w:spacing w:before="120" w:line="360" w:lineRule="auto"/>
        <w:ind w:left="1134" w:right="762"/>
        <w:jc w:val="center"/>
        <w:rPr>
          <w:rFonts w:ascii="Arial" w:hAnsi="Arial" w:cs="Arial"/>
          <w:b/>
          <w:sz w:val="22"/>
          <w:szCs w:val="22"/>
        </w:rPr>
      </w:pPr>
    </w:p>
    <w:sectPr w:rsidR="00D55015" w:rsidSect="000E2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92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6E" w:rsidRDefault="00B7676E">
      <w:r>
        <w:separator/>
      </w:r>
    </w:p>
  </w:endnote>
  <w:endnote w:type="continuationSeparator" w:id="0">
    <w:p w:rsidR="00B7676E" w:rsidRDefault="00B7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6E" w:rsidRDefault="00B7676E">
      <w:r>
        <w:separator/>
      </w:r>
    </w:p>
  </w:footnote>
  <w:footnote w:type="continuationSeparator" w:id="0">
    <w:p w:rsidR="00B7676E" w:rsidRDefault="00B7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10"/>
    <w:rsid w:val="000A7CB2"/>
    <w:rsid w:val="000E2C58"/>
    <w:rsid w:val="000F6BAF"/>
    <w:rsid w:val="001622B1"/>
    <w:rsid w:val="001C3A77"/>
    <w:rsid w:val="002A6FFD"/>
    <w:rsid w:val="003540D2"/>
    <w:rsid w:val="00466BE4"/>
    <w:rsid w:val="004A47DE"/>
    <w:rsid w:val="005277B4"/>
    <w:rsid w:val="00590F40"/>
    <w:rsid w:val="005B3F15"/>
    <w:rsid w:val="00602592"/>
    <w:rsid w:val="006303D2"/>
    <w:rsid w:val="00662310"/>
    <w:rsid w:val="006A61B1"/>
    <w:rsid w:val="00750950"/>
    <w:rsid w:val="00800AC2"/>
    <w:rsid w:val="00846AD4"/>
    <w:rsid w:val="00963F25"/>
    <w:rsid w:val="00995E90"/>
    <w:rsid w:val="00A3583C"/>
    <w:rsid w:val="00B657FF"/>
    <w:rsid w:val="00B7676E"/>
    <w:rsid w:val="00C238B9"/>
    <w:rsid w:val="00CB6C6C"/>
    <w:rsid w:val="00CC2AA3"/>
    <w:rsid w:val="00CD305F"/>
    <w:rsid w:val="00D15D1B"/>
    <w:rsid w:val="00D522CB"/>
    <w:rsid w:val="00D55015"/>
    <w:rsid w:val="00D96BED"/>
    <w:rsid w:val="00D971B3"/>
    <w:rsid w:val="00EA4B9D"/>
    <w:rsid w:val="00ED2EE3"/>
    <w:rsid w:val="00F801FE"/>
    <w:rsid w:val="00F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5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D30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D305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66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95E9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5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D30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D305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66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95E9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9101E-1947-49E2-97BF-1C454E25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</dc:creator>
  <cp:lastModifiedBy>Susana Teixeira</cp:lastModifiedBy>
  <cp:revision>4</cp:revision>
  <cp:lastPrinted>2019-02-05T10:50:00Z</cp:lastPrinted>
  <dcterms:created xsi:type="dcterms:W3CDTF">2019-02-05T10:14:00Z</dcterms:created>
  <dcterms:modified xsi:type="dcterms:W3CDTF">2019-02-05T10:50:00Z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-doclink_UrlBase">
    <vt:lpwstr xmlns:vt="http://schemas.openxmlformats.org/officeDocument/2006/docPropsVTypes">http://edoclink.cm-odivelas.pt/classic/</vt:lpwstr>
  </op:property>
  <op:property fmtid="{D5CDD505-2E9C-101B-9397-08002B2CF9AE}" pid="3" name="_edoclink_DocumentKey">
    <vt:lpwstr>e021f66a-48d3-4396-8afe-816ee3462f98</vt:lpwstr>
  </op:property>
  <op:property fmtid="{D5CDD505-2E9C-101B-9397-08002B2CF9AE}" pid="4" name="_edoclink_DocumentVersion">
    <vt:lpwstr>1</vt:lpwstr>
  </op:property>
</op:Properties>
</file>